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0" w:type="auto"/>
        <w:jc w:val="center"/>
        <w:tblInd w:w="108" w:type="dxa"/>
        <w:tblLook w:val="01E0" w:firstRow="1" w:lastRow="1" w:firstColumn="1" w:lastColumn="1" w:noHBand="0" w:noVBand="0"/>
      </w:tblPr>
      <w:tblGrid>
        <w:gridCol w:w="9104"/>
      </w:tblGrid>
      <w:tr w:rsidR="00053329" w:rsidRPr="00053329" w:rsidTr="00053329">
        <w:trPr>
          <w:jc w:val="center"/>
        </w:trPr>
        <w:tc>
          <w:tcPr>
            <w:tcW w:w="9104" w:type="dxa"/>
            <w:hideMark/>
          </w:tcPr>
          <w:tbl>
            <w:tblPr>
              <w:tblStyle w:val="NormalTablo"/>
              <w:tblW w:w="8789" w:type="dxa"/>
              <w:jc w:val="center"/>
              <w:tblInd w:w="0" w:type="dxa"/>
              <w:tblLook w:val="01E0" w:firstRow="1" w:lastRow="1" w:firstColumn="1" w:lastColumn="1" w:noHBand="0" w:noVBand="0"/>
            </w:tblPr>
            <w:tblGrid>
              <w:gridCol w:w="2931"/>
              <w:gridCol w:w="2931"/>
              <w:gridCol w:w="2927"/>
            </w:tblGrid>
            <w:tr w:rsidR="00053329" w:rsidRPr="00053329">
              <w:trPr>
                <w:trHeight w:val="317"/>
                <w:jc w:val="center"/>
              </w:trPr>
              <w:tc>
                <w:tcPr>
                  <w:tcW w:w="2931" w:type="dxa"/>
                  <w:tcBorders>
                    <w:top w:val="nil"/>
                    <w:left w:val="nil"/>
                    <w:bottom w:val="single" w:sz="4" w:space="0" w:color="660066"/>
                    <w:right w:val="nil"/>
                  </w:tcBorders>
                  <w:vAlign w:val="center"/>
                  <w:hideMark/>
                </w:tcPr>
                <w:p w:rsidR="00053329" w:rsidRPr="00053329" w:rsidRDefault="00053329" w:rsidP="00053329">
                  <w:pPr>
                    <w:tabs>
                      <w:tab w:val="left" w:pos="567"/>
                      <w:tab w:val="center" w:pos="994"/>
                      <w:tab w:val="center" w:pos="3543"/>
                      <w:tab w:val="right" w:pos="6520"/>
                    </w:tabs>
                    <w:rPr>
                      <w:rFonts w:ascii="Arial" w:hAnsi="Arial" w:cs="Arial"/>
                      <w:sz w:val="16"/>
                      <w:szCs w:val="16"/>
                    </w:rPr>
                  </w:pPr>
                  <w:r w:rsidRPr="00053329">
                    <w:rPr>
                      <w:rFonts w:ascii="Arial" w:hAnsi="Arial" w:cs="Arial"/>
                      <w:sz w:val="16"/>
                      <w:szCs w:val="16"/>
                    </w:rPr>
                    <w:t>14 Mart 2018 ÇARŞAMBA</w:t>
                  </w:r>
                </w:p>
              </w:tc>
              <w:tc>
                <w:tcPr>
                  <w:tcW w:w="2931" w:type="dxa"/>
                  <w:tcBorders>
                    <w:top w:val="nil"/>
                    <w:left w:val="nil"/>
                    <w:bottom w:val="single" w:sz="4" w:space="0" w:color="660066"/>
                    <w:right w:val="nil"/>
                  </w:tcBorders>
                  <w:vAlign w:val="center"/>
                  <w:hideMark/>
                </w:tcPr>
                <w:p w:rsidR="00053329" w:rsidRPr="00053329" w:rsidRDefault="00053329" w:rsidP="00053329">
                  <w:pPr>
                    <w:tabs>
                      <w:tab w:val="left" w:pos="567"/>
                      <w:tab w:val="center" w:pos="994"/>
                      <w:tab w:val="center" w:pos="3543"/>
                      <w:tab w:val="right" w:pos="6520"/>
                    </w:tabs>
                    <w:jc w:val="center"/>
                    <w:rPr>
                      <w:rFonts w:ascii="Palatino Linotype" w:hAnsi="Palatino Linotype"/>
                      <w:b/>
                      <w:color w:val="800080"/>
                      <w:sz w:val="24"/>
                      <w:szCs w:val="24"/>
                    </w:rPr>
                  </w:pPr>
                  <w:r w:rsidRPr="00053329">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053329" w:rsidRPr="00053329" w:rsidRDefault="00053329" w:rsidP="00053329">
                  <w:pPr>
                    <w:jc w:val="right"/>
                    <w:rPr>
                      <w:rFonts w:ascii="Arial" w:hAnsi="Arial" w:cs="Arial"/>
                      <w:sz w:val="16"/>
                      <w:szCs w:val="16"/>
                    </w:rPr>
                  </w:pPr>
                  <w:proofErr w:type="gramStart"/>
                  <w:r w:rsidRPr="00053329">
                    <w:rPr>
                      <w:rFonts w:ascii="Arial" w:hAnsi="Arial" w:cs="Arial"/>
                      <w:sz w:val="16"/>
                      <w:szCs w:val="16"/>
                    </w:rPr>
                    <w:t>Sayı : 30360</w:t>
                  </w:r>
                  <w:proofErr w:type="gramEnd"/>
                </w:p>
              </w:tc>
            </w:tr>
            <w:tr w:rsidR="00053329" w:rsidRPr="00053329">
              <w:trPr>
                <w:trHeight w:val="480"/>
                <w:jc w:val="center"/>
              </w:trPr>
              <w:tc>
                <w:tcPr>
                  <w:tcW w:w="8789" w:type="dxa"/>
                  <w:gridSpan w:val="3"/>
                  <w:vAlign w:val="center"/>
                  <w:hideMark/>
                </w:tcPr>
                <w:p w:rsidR="00053329" w:rsidRPr="00053329" w:rsidRDefault="00053329" w:rsidP="00053329">
                  <w:pPr>
                    <w:jc w:val="center"/>
                    <w:rPr>
                      <w:rFonts w:ascii="Arial" w:hAnsi="Arial" w:cs="Arial"/>
                      <w:b/>
                      <w:color w:val="000080"/>
                      <w:sz w:val="18"/>
                      <w:szCs w:val="18"/>
                    </w:rPr>
                  </w:pPr>
                  <w:r w:rsidRPr="00053329">
                    <w:rPr>
                      <w:rFonts w:ascii="Arial" w:hAnsi="Arial" w:cs="Arial"/>
                      <w:b/>
                      <w:color w:val="000080"/>
                      <w:sz w:val="18"/>
                      <w:szCs w:val="18"/>
                    </w:rPr>
                    <w:t>TEBLİĞ</w:t>
                  </w:r>
                </w:p>
              </w:tc>
            </w:tr>
            <w:tr w:rsidR="00053329" w:rsidRPr="00053329">
              <w:trPr>
                <w:trHeight w:val="480"/>
                <w:jc w:val="center"/>
              </w:trPr>
              <w:tc>
                <w:tcPr>
                  <w:tcW w:w="8789" w:type="dxa"/>
                  <w:gridSpan w:val="3"/>
                  <w:vAlign w:val="center"/>
                </w:tcPr>
                <w:p w:rsidR="00053329" w:rsidRDefault="00053329" w:rsidP="00053329">
                  <w:pPr>
                    <w:tabs>
                      <w:tab w:val="left" w:pos="566"/>
                    </w:tabs>
                    <w:ind w:firstLine="566"/>
                    <w:jc w:val="both"/>
                    <w:rPr>
                      <w:sz w:val="18"/>
                      <w:szCs w:val="18"/>
                      <w:u w:val="single"/>
                    </w:rPr>
                  </w:pPr>
                  <w:r w:rsidRPr="00053329">
                    <w:rPr>
                      <w:sz w:val="18"/>
                      <w:szCs w:val="18"/>
                      <w:u w:val="single"/>
                    </w:rPr>
                    <w:t>Bankacılık Düzenleme ve Denetleme Kurumundan:</w:t>
                  </w:r>
                </w:p>
                <w:p w:rsidR="00053329" w:rsidRPr="00053329" w:rsidRDefault="00053329" w:rsidP="00053329">
                  <w:pPr>
                    <w:tabs>
                      <w:tab w:val="left" w:pos="566"/>
                    </w:tabs>
                    <w:ind w:firstLine="566"/>
                    <w:jc w:val="both"/>
                    <w:rPr>
                      <w:sz w:val="18"/>
                      <w:szCs w:val="18"/>
                      <w:u w:val="single"/>
                    </w:rPr>
                  </w:pPr>
                </w:p>
                <w:p w:rsidR="00053329" w:rsidRPr="00053329" w:rsidRDefault="00053329" w:rsidP="00053329">
                  <w:pPr>
                    <w:tabs>
                      <w:tab w:val="left" w:pos="566"/>
                    </w:tabs>
                    <w:jc w:val="center"/>
                    <w:rPr>
                      <w:b/>
                      <w:sz w:val="22"/>
                      <w:szCs w:val="22"/>
                    </w:rPr>
                  </w:pPr>
                  <w:r w:rsidRPr="00053329">
                    <w:rPr>
                      <w:b/>
                      <w:sz w:val="22"/>
                      <w:szCs w:val="22"/>
                    </w:rPr>
                    <w:t>KREDİ RİSKİNE ESAS TUTARIN İÇSEL DERECELENDİRMEYE DAYALI</w:t>
                  </w:r>
                </w:p>
                <w:p w:rsidR="00053329" w:rsidRPr="00053329" w:rsidRDefault="00053329" w:rsidP="00053329">
                  <w:pPr>
                    <w:tabs>
                      <w:tab w:val="left" w:pos="566"/>
                    </w:tabs>
                    <w:jc w:val="center"/>
                    <w:rPr>
                      <w:b/>
                      <w:sz w:val="22"/>
                      <w:szCs w:val="22"/>
                    </w:rPr>
                  </w:pPr>
                  <w:r w:rsidRPr="00053329">
                    <w:rPr>
                      <w:b/>
                      <w:sz w:val="22"/>
                      <w:szCs w:val="22"/>
                    </w:rPr>
                    <w:t>YAKLAŞIMLAR İLE HESAPLANMASINA İLİŞKİN TEBLİĞDE</w:t>
                  </w:r>
                </w:p>
                <w:p w:rsidR="00053329" w:rsidRDefault="00053329" w:rsidP="00053329">
                  <w:pPr>
                    <w:tabs>
                      <w:tab w:val="left" w:pos="566"/>
                    </w:tabs>
                    <w:jc w:val="center"/>
                    <w:rPr>
                      <w:b/>
                      <w:sz w:val="22"/>
                      <w:szCs w:val="22"/>
                    </w:rPr>
                  </w:pPr>
                  <w:r w:rsidRPr="00053329">
                    <w:rPr>
                      <w:b/>
                      <w:sz w:val="22"/>
                      <w:szCs w:val="22"/>
                    </w:rPr>
                    <w:t>DEĞİŞİKLİK YAPILMASINA DAİR TEBLİĞ</w:t>
                  </w:r>
                </w:p>
                <w:p w:rsidR="00053329" w:rsidRPr="00053329" w:rsidRDefault="00053329" w:rsidP="00053329">
                  <w:pPr>
                    <w:tabs>
                      <w:tab w:val="left" w:pos="566"/>
                    </w:tabs>
                    <w:jc w:val="center"/>
                    <w:rPr>
                      <w:b/>
                      <w:sz w:val="22"/>
                      <w:szCs w:val="22"/>
                    </w:rPr>
                  </w:pPr>
                </w:p>
                <w:p w:rsidR="00053329" w:rsidRDefault="00053329" w:rsidP="00053329">
                  <w:pPr>
                    <w:tabs>
                      <w:tab w:val="left" w:pos="566"/>
                    </w:tabs>
                    <w:ind w:firstLine="566"/>
                    <w:jc w:val="both"/>
                    <w:rPr>
                      <w:sz w:val="22"/>
                      <w:szCs w:val="22"/>
                    </w:rPr>
                  </w:pPr>
                  <w:r w:rsidRPr="00053329">
                    <w:rPr>
                      <w:b/>
                      <w:sz w:val="22"/>
                      <w:szCs w:val="22"/>
                    </w:rPr>
                    <w:t>MADDE 1 –</w:t>
                  </w:r>
                  <w:r w:rsidRPr="00053329">
                    <w:rPr>
                      <w:sz w:val="22"/>
                      <w:szCs w:val="22"/>
                    </w:rPr>
                    <w:t xml:space="preserve"> </w:t>
                  </w:r>
                  <w:proofErr w:type="gramStart"/>
                  <w:r w:rsidRPr="00053329">
                    <w:rPr>
                      <w:sz w:val="22"/>
                      <w:szCs w:val="22"/>
                    </w:rPr>
                    <w:t>23/10/2015</w:t>
                  </w:r>
                  <w:proofErr w:type="gramEnd"/>
                  <w:r w:rsidRPr="00053329">
                    <w:rPr>
                      <w:sz w:val="22"/>
                      <w:szCs w:val="22"/>
                    </w:rPr>
                    <w:t xml:space="preserve"> tarihli ve 29511 sayılı Resmî </w:t>
                  </w:r>
                  <w:proofErr w:type="spellStart"/>
                  <w:r w:rsidRPr="00053329">
                    <w:rPr>
                      <w:sz w:val="22"/>
                      <w:szCs w:val="22"/>
                    </w:rPr>
                    <w:t>Gazete’de</w:t>
                  </w:r>
                  <w:proofErr w:type="spellEnd"/>
                  <w:r w:rsidRPr="00053329">
                    <w:rPr>
                      <w:sz w:val="22"/>
                      <w:szCs w:val="22"/>
                    </w:rPr>
                    <w:t xml:space="preserve"> yayımlanan Kredi Riskine Esas Tutarın İçsel Derecelendirmeye Dayalı Yaklaşımlar ile Hesaplanmasına İlişkin Tebliğin 6 </w:t>
                  </w:r>
                  <w:proofErr w:type="spellStart"/>
                  <w:r w:rsidRPr="00053329">
                    <w:rPr>
                      <w:sz w:val="22"/>
                      <w:szCs w:val="22"/>
                    </w:rPr>
                    <w:t>ncı</w:t>
                  </w:r>
                  <w:proofErr w:type="spellEnd"/>
                  <w:r w:rsidRPr="00053329">
                    <w:rPr>
                      <w:sz w:val="22"/>
                      <w:szCs w:val="22"/>
                    </w:rPr>
                    <w:t xml:space="preserve"> maddesinin dördüncü fıkrasının (a) bendinin (2) numaralı alt bendi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 xml:space="preserve">“2) Bankanın ve </w:t>
                  </w:r>
                  <w:proofErr w:type="gramStart"/>
                  <w:r w:rsidRPr="00053329">
                    <w:rPr>
                      <w:sz w:val="22"/>
                      <w:szCs w:val="22"/>
                    </w:rPr>
                    <w:t>konsolide</w:t>
                  </w:r>
                  <w:proofErr w:type="gramEnd"/>
                  <w:r w:rsidRPr="00053329">
                    <w:rPr>
                      <w:sz w:val="22"/>
                      <w:szCs w:val="22"/>
                    </w:rPr>
                    <w:t xml:space="preserve"> edilen finansal kuruluş niteliğindeki bağlı ortaklıklarının KOBİ’den ve KOBİ’nin dahil olduğu risk grubundan olan toplam risk tutarının brüt tahsili gecikmiş alacaklar dâhil Yönetmeliğin 6 </w:t>
                  </w:r>
                  <w:proofErr w:type="spellStart"/>
                  <w:r w:rsidRPr="00053329">
                    <w:rPr>
                      <w:sz w:val="22"/>
                      <w:szCs w:val="22"/>
                    </w:rPr>
                    <w:t>ncı</w:t>
                  </w:r>
                  <w:proofErr w:type="spellEnd"/>
                  <w:r w:rsidRPr="00053329">
                    <w:rPr>
                      <w:sz w:val="22"/>
                      <w:szCs w:val="22"/>
                    </w:rPr>
                    <w:t xml:space="preserve"> maddesinin ikinci fıkrasının (c) bendi uyarınca belirlenen perakende kredi limitini geçmemesi şartıyla KOBİ’lerden olan alacaklar.”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2 – </w:t>
                  </w:r>
                  <w:r w:rsidRPr="00053329">
                    <w:rPr>
                      <w:sz w:val="22"/>
                      <w:szCs w:val="22"/>
                    </w:rPr>
                    <w:t>Aynı Tebliğin 8 inci maddesinin ikinci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 xml:space="preserve">“(2) TO/THK Yaklaşımın kullanıldığı hisse senedi yatırımları ile menkul kıymetleştirme pozisyonu dışındaki risk sınıfları için hesaplanan beklenen kayıp tutarı, </w:t>
                  </w:r>
                  <w:proofErr w:type="gramStart"/>
                  <w:r w:rsidRPr="00053329">
                    <w:rPr>
                      <w:sz w:val="22"/>
                      <w:szCs w:val="22"/>
                    </w:rPr>
                    <w:t>22/6/2016</w:t>
                  </w:r>
                  <w:proofErr w:type="gramEnd"/>
                  <w:r w:rsidRPr="00053329">
                    <w:rPr>
                      <w:sz w:val="22"/>
                      <w:szCs w:val="22"/>
                    </w:rPr>
                    <w:t xml:space="preserve"> tarihli ve 29750 sayılı Resmî </w:t>
                  </w:r>
                  <w:proofErr w:type="spellStart"/>
                  <w:r w:rsidRPr="00053329">
                    <w:rPr>
                      <w:sz w:val="22"/>
                      <w:szCs w:val="22"/>
                    </w:rPr>
                    <w:t>Gazete’de</w:t>
                  </w:r>
                  <w:proofErr w:type="spellEnd"/>
                  <w:r w:rsidRPr="00053329">
                    <w:rPr>
                      <w:sz w:val="22"/>
                      <w:szCs w:val="22"/>
                    </w:rPr>
                    <w:t xml:space="preserve"> yayımlanan Kredilerin Sınıflandırılması ve Bunlar İçin Ayrılacak Karşılıklara İlişkin Usul ve Esaslar Hakkında Yönetmeliğe istinaden alacaklar için ayrılan karşılıklar toplamından çıkarılır. Bunun sonucunda negatif bir tutar elde edilmesi durumunda, bu tutarın mutlak değeri Bankaların </w:t>
                  </w:r>
                  <w:proofErr w:type="spellStart"/>
                  <w:r w:rsidRPr="00053329">
                    <w:rPr>
                      <w:sz w:val="22"/>
                      <w:szCs w:val="22"/>
                    </w:rPr>
                    <w:t>Özkaynaklarına</w:t>
                  </w:r>
                  <w:proofErr w:type="spellEnd"/>
                  <w:r w:rsidRPr="00053329">
                    <w:rPr>
                      <w:sz w:val="22"/>
                      <w:szCs w:val="22"/>
                    </w:rPr>
                    <w:t xml:space="preserve"> İlişkin Yönetmelik uyarınca çekirdek sermayeden indirilir. Pozitif bir tutar elde edilmesi durumunda ise bu tutarın TO/THK Yaklaşımının kullanıldığı hisse senedi yatırımları ile menkul kıymetleştirme pozisyonları hariç İçsel Derecelendirmeye Dayalı Yaklaşımların kullanıldığı alacakların risk ağırlıklı tutarları toplamının %0,6'sına kadar olan kısmı Bankaların </w:t>
                  </w:r>
                  <w:proofErr w:type="spellStart"/>
                  <w:r w:rsidRPr="00053329">
                    <w:rPr>
                      <w:sz w:val="22"/>
                      <w:szCs w:val="22"/>
                    </w:rPr>
                    <w:t>Özkaynaklarına</w:t>
                  </w:r>
                  <w:proofErr w:type="spellEnd"/>
                  <w:r w:rsidRPr="00053329">
                    <w:rPr>
                      <w:sz w:val="22"/>
                      <w:szCs w:val="22"/>
                    </w:rPr>
                    <w:t xml:space="preserve"> İlişkin Yönetmelik uyarınca katkı sermayeye eklenir. Temerrüde düşmüş devralınan alacaklara yapılan </w:t>
                  </w:r>
                  <w:proofErr w:type="spellStart"/>
                  <w:r w:rsidRPr="00053329">
                    <w:rPr>
                      <w:sz w:val="22"/>
                      <w:szCs w:val="22"/>
                    </w:rPr>
                    <w:t>iskontolar</w:t>
                  </w:r>
                  <w:proofErr w:type="spellEnd"/>
                  <w:r w:rsidRPr="00053329">
                    <w:rPr>
                      <w:sz w:val="22"/>
                      <w:szCs w:val="22"/>
                    </w:rPr>
                    <w:t xml:space="preserve"> da özel karşılıklar gibi dikkate alınır.”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3 – </w:t>
                  </w:r>
                  <w:r w:rsidRPr="00053329">
                    <w:rPr>
                      <w:sz w:val="22"/>
                      <w:szCs w:val="22"/>
                    </w:rPr>
                    <w:t>Aynı Tebliğin Ek-1'inin Birinci Bölümünün beşinci fıkrası aşağıdaki şekilde değiştirilmiştir.</w:t>
                  </w:r>
                </w:p>
                <w:p w:rsidR="00053329" w:rsidRPr="00053329" w:rsidRDefault="00053329" w:rsidP="00053329">
                  <w:pPr>
                    <w:tabs>
                      <w:tab w:val="left" w:pos="566"/>
                    </w:tabs>
                    <w:ind w:firstLine="566"/>
                    <w:jc w:val="both"/>
                    <w:rPr>
                      <w:sz w:val="22"/>
                      <w:szCs w:val="22"/>
                    </w:rPr>
                  </w:pPr>
                </w:p>
                <w:p w:rsidR="00053329" w:rsidRPr="00053329" w:rsidRDefault="00053329" w:rsidP="00053329">
                  <w:pPr>
                    <w:tabs>
                      <w:tab w:val="left" w:pos="566"/>
                    </w:tabs>
                    <w:ind w:firstLine="566"/>
                    <w:jc w:val="both"/>
                    <w:rPr>
                      <w:sz w:val="22"/>
                      <w:szCs w:val="22"/>
                    </w:rPr>
                  </w:pPr>
                  <w:r w:rsidRPr="00053329">
                    <w:rPr>
                      <w:sz w:val="22"/>
                      <w:szCs w:val="22"/>
                    </w:rPr>
                    <w:t>“</w:t>
                  </w:r>
                  <w:r w:rsidRPr="00053329">
                    <w:rPr>
                      <w:b/>
                      <w:sz w:val="22"/>
                      <w:szCs w:val="22"/>
                    </w:rPr>
                    <w:t>5.</w:t>
                  </w:r>
                  <w:r w:rsidRPr="00053329">
                    <w:rPr>
                      <w:sz w:val="22"/>
                      <w:szCs w:val="22"/>
                    </w:rPr>
                    <w:t xml:space="preserve"> KOBİ’lerden olan kurumsal alacaklar için ikinci fıkra uyarınca risk ağırlıklarının hesaplanmasında, aşağıda yer alan </w:t>
                  </w:r>
                  <w:proofErr w:type="gramStart"/>
                  <w:r w:rsidRPr="00053329">
                    <w:rPr>
                      <w:sz w:val="22"/>
                      <w:szCs w:val="22"/>
                    </w:rPr>
                    <w:t>korelasyon</w:t>
                  </w:r>
                  <w:proofErr w:type="gramEnd"/>
                  <w:r w:rsidRPr="00053329">
                    <w:rPr>
                      <w:sz w:val="22"/>
                      <w:szCs w:val="22"/>
                    </w:rPr>
                    <w:t xml:space="preserve"> formülü kullanılır.</w:t>
                  </w:r>
                </w:p>
                <w:p w:rsidR="00053329" w:rsidRPr="00053329" w:rsidRDefault="00053329" w:rsidP="00053329">
                  <w:pPr>
                    <w:rPr>
                      <w:sz w:val="22"/>
                      <w:szCs w:val="22"/>
                    </w:rPr>
                  </w:pPr>
                </w:p>
                <w:p w:rsidR="00053329" w:rsidRPr="00053329" w:rsidRDefault="00053329" w:rsidP="00053329">
                  <w:pPr>
                    <w:jc w:val="center"/>
                    <w:rPr>
                      <w:sz w:val="22"/>
                      <w:szCs w:val="22"/>
                    </w:rPr>
                  </w:pPr>
                  <w:r w:rsidRPr="00053329">
                    <w:rPr>
                      <w:noProof/>
                      <w:sz w:val="22"/>
                      <w:szCs w:val="22"/>
                    </w:rPr>
                    <w:drawing>
                      <wp:inline distT="0" distB="0" distL="0" distR="0" wp14:anchorId="54BAEED7" wp14:editId="2269894C">
                        <wp:extent cx="4425950" cy="446405"/>
                        <wp:effectExtent l="0" t="0" r="0" b="0"/>
                        <wp:docPr id="1" name="Picture 1" descr="Kredi Riski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di Riski 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0" cy="446405"/>
                                </a:xfrm>
                                <a:prstGeom prst="rect">
                                  <a:avLst/>
                                </a:prstGeom>
                                <a:noFill/>
                                <a:ln>
                                  <a:noFill/>
                                </a:ln>
                              </pic:spPr>
                            </pic:pic>
                          </a:graphicData>
                        </a:graphic>
                      </wp:inline>
                    </w:drawing>
                  </w:r>
                </w:p>
                <w:p w:rsidR="00053329" w:rsidRPr="00053329" w:rsidRDefault="00053329" w:rsidP="00053329">
                  <w:pPr>
                    <w:rPr>
                      <w:sz w:val="22"/>
                      <w:szCs w:val="22"/>
                    </w:rPr>
                  </w:pPr>
                </w:p>
                <w:p w:rsidR="00053329" w:rsidRDefault="00053329" w:rsidP="00053329">
                  <w:pPr>
                    <w:tabs>
                      <w:tab w:val="left" w:pos="566"/>
                    </w:tabs>
                    <w:ind w:firstLine="566"/>
                    <w:jc w:val="both"/>
                    <w:rPr>
                      <w:sz w:val="22"/>
                      <w:szCs w:val="22"/>
                    </w:rPr>
                  </w:pPr>
                  <w:r w:rsidRPr="00053329">
                    <w:rPr>
                      <w:sz w:val="22"/>
                      <w:szCs w:val="22"/>
                    </w:rPr>
                    <w:t xml:space="preserve">Formülde, “C” milyon TL olarak Yönetmeliğin 3 üncü maddesinde KOBİ’lerin tanımlanmasında kullanılan ciro sınırını, “S” milyon TL olarak KOBİ’nin içinde yer aldığı risk grubunun </w:t>
                  </w:r>
                  <w:proofErr w:type="gramStart"/>
                  <w:r w:rsidRPr="00053329">
                    <w:rPr>
                      <w:sz w:val="22"/>
                      <w:szCs w:val="22"/>
                    </w:rPr>
                    <w:t>konsolide</w:t>
                  </w:r>
                  <w:proofErr w:type="gramEnd"/>
                  <w:r w:rsidRPr="00053329">
                    <w:rPr>
                      <w:sz w:val="22"/>
                      <w:szCs w:val="22"/>
                    </w:rPr>
                    <w:t xml:space="preserve"> bazda yıllık cirosunu ifade eder. Devralınan KOBİ alacaklarından oluşan bir havuz için “S” parametresinin hesaplamasında, devralınan alacak havuzundaki her bir alacakla </w:t>
                  </w:r>
                  <w:proofErr w:type="spellStart"/>
                  <w:r w:rsidRPr="00053329">
                    <w:rPr>
                      <w:sz w:val="22"/>
                      <w:szCs w:val="22"/>
                    </w:rPr>
                    <w:t>ağırlıklandırılmış</w:t>
                  </w:r>
                  <w:proofErr w:type="spellEnd"/>
                  <w:r w:rsidRPr="00053329">
                    <w:rPr>
                      <w:sz w:val="22"/>
                      <w:szCs w:val="22"/>
                    </w:rPr>
                    <w:t xml:space="preserve"> yıllık ciro dikkate alınır. Cironun firma büyüklüğü konusunda anlamlı bir gösterge olmaması durumunda ciro yerine mali bilanço kullanılabilir. Bu bilgilerin bulunmaması halinde ikinci fıkrada belirtilen </w:t>
                  </w:r>
                  <w:proofErr w:type="gramStart"/>
                  <w:r w:rsidRPr="00053329">
                    <w:rPr>
                      <w:sz w:val="22"/>
                      <w:szCs w:val="22"/>
                    </w:rPr>
                    <w:t>korelasyon</w:t>
                  </w:r>
                  <w:proofErr w:type="gramEnd"/>
                  <w:r w:rsidRPr="00053329">
                    <w:rPr>
                      <w:sz w:val="22"/>
                      <w:szCs w:val="22"/>
                    </w:rPr>
                    <w:t xml:space="preserve"> formülü kullanılır.”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4 – </w:t>
                  </w:r>
                  <w:r w:rsidRPr="00053329">
                    <w:rPr>
                      <w:sz w:val="22"/>
                      <w:szCs w:val="22"/>
                    </w:rPr>
                    <w:t>Aynı Tebliğin Ek-1'inin Üçüncü Bölümünün birinci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w:t>
                  </w:r>
                  <w:r w:rsidRPr="00053329">
                    <w:rPr>
                      <w:b/>
                      <w:sz w:val="22"/>
                      <w:szCs w:val="22"/>
                    </w:rPr>
                    <w:t>1.</w:t>
                  </w:r>
                  <w:r w:rsidRPr="00053329">
                    <w:rPr>
                      <w:sz w:val="22"/>
                      <w:szCs w:val="22"/>
                    </w:rPr>
                    <w:t xml:space="preserve"> Alacakların risk tutarı hesaplanırken, Kredilerin Sınıflandırılması ve Bunlar İçin Ayrılacak Karşılıklara İlişkin Usul ve Esaslar Hakkında Yönetmelik uyarınca ayrılmış karşılıklar düşülmeden önceki tutarlar dikkate alınır. Devralınan alacakların iskontolu olarak satın alınması durumunda, risk tutarı olarak </w:t>
                  </w:r>
                  <w:proofErr w:type="spellStart"/>
                  <w:r w:rsidRPr="00053329">
                    <w:rPr>
                      <w:sz w:val="22"/>
                      <w:szCs w:val="22"/>
                    </w:rPr>
                    <w:t>iskontodan</w:t>
                  </w:r>
                  <w:proofErr w:type="spellEnd"/>
                  <w:r w:rsidRPr="00053329">
                    <w:rPr>
                      <w:sz w:val="22"/>
                      <w:szCs w:val="22"/>
                    </w:rPr>
                    <w:t xml:space="preserve"> önceki tutarlar dikkate alınır.”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5 – </w:t>
                  </w:r>
                  <w:r w:rsidRPr="00053329">
                    <w:rPr>
                      <w:sz w:val="22"/>
                      <w:szCs w:val="22"/>
                    </w:rPr>
                    <w:t>Aynı Tebliğin Ek-1'inin Üçüncü Bölümünün on birinci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w:t>
                  </w:r>
                  <w:r w:rsidRPr="00053329">
                    <w:rPr>
                      <w:b/>
                      <w:sz w:val="22"/>
                      <w:szCs w:val="22"/>
                    </w:rPr>
                    <w:t>11.</w:t>
                  </w:r>
                  <w:r w:rsidRPr="00053329">
                    <w:rPr>
                      <w:sz w:val="22"/>
                      <w:szCs w:val="22"/>
                    </w:rPr>
                    <w:t xml:space="preserve"> Hisse senedi yatırımlarının risk tutarı, Türkiye Muhasebe Standartları uyarınca değerlenmiş tutarlarını ifade eder.”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6 – </w:t>
                  </w:r>
                  <w:r w:rsidRPr="00053329">
                    <w:rPr>
                      <w:sz w:val="22"/>
                      <w:szCs w:val="22"/>
                    </w:rPr>
                    <w:t>Aynı Tebliğin Ek-1'inin Üçüncü Bölümünün on ikinci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w:t>
                  </w:r>
                  <w:r w:rsidRPr="00053329">
                    <w:rPr>
                      <w:b/>
                      <w:sz w:val="22"/>
                      <w:szCs w:val="22"/>
                    </w:rPr>
                    <w:t>12.</w:t>
                  </w:r>
                  <w:r w:rsidRPr="00053329">
                    <w:rPr>
                      <w:sz w:val="22"/>
                      <w:szCs w:val="22"/>
                    </w:rPr>
                    <w:t xml:space="preserve"> Bilanço dışında izlenen hisse senedi yatırımlarının risk tutarı, </w:t>
                  </w:r>
                  <w:proofErr w:type="gramStart"/>
                  <w:r w:rsidRPr="00053329">
                    <w:rPr>
                      <w:sz w:val="22"/>
                      <w:szCs w:val="22"/>
                    </w:rPr>
                    <w:t>nominal</w:t>
                  </w:r>
                  <w:proofErr w:type="gramEnd"/>
                  <w:r w:rsidRPr="00053329">
                    <w:rPr>
                      <w:sz w:val="22"/>
                      <w:szCs w:val="22"/>
                    </w:rPr>
                    <w:t xml:space="preserve"> değerlerini ifade eder.”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7 – </w:t>
                  </w:r>
                  <w:r w:rsidRPr="00053329">
                    <w:rPr>
                      <w:sz w:val="22"/>
                      <w:szCs w:val="22"/>
                    </w:rPr>
                    <w:t>Aynı Tebliğin Ek-1'inin Üçüncü Bölümünün on üçüncü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w:t>
                  </w:r>
                  <w:r w:rsidRPr="00053329">
                    <w:rPr>
                      <w:b/>
                      <w:sz w:val="22"/>
                      <w:szCs w:val="22"/>
                    </w:rPr>
                    <w:t>13.</w:t>
                  </w:r>
                  <w:r w:rsidRPr="00053329">
                    <w:rPr>
                      <w:sz w:val="22"/>
                      <w:szCs w:val="22"/>
                    </w:rPr>
                    <w:t xml:space="preserve"> Diğer aktiflere ilişkin risk tutarı, ilgili aktifin Türkiye Muhasebe Standartları uyarınca değerlenmiş tutarını ifade eder.”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8 – </w:t>
                  </w:r>
                  <w:r w:rsidRPr="00053329">
                    <w:rPr>
                      <w:sz w:val="22"/>
                      <w:szCs w:val="22"/>
                    </w:rPr>
                    <w:t>Aynı Tebliğin Ek-2'sinin otuz ikinci fıkrası aşağıdaki şekilde değiştirilmiştir.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sz w:val="22"/>
                      <w:szCs w:val="22"/>
                    </w:rPr>
                    <w:t>“</w:t>
                  </w:r>
                  <w:r w:rsidRPr="00053329">
                    <w:rPr>
                      <w:b/>
                      <w:sz w:val="22"/>
                      <w:szCs w:val="22"/>
                    </w:rPr>
                    <w:t>32.</w:t>
                  </w:r>
                  <w:r w:rsidRPr="00053329">
                    <w:rPr>
                      <w:sz w:val="22"/>
                      <w:szCs w:val="22"/>
                    </w:rPr>
                    <w:t xml:space="preserve"> Yeniden yapılandırılan veya vadesi uzatılan ya da vadesi uzatılarak yeni itfa planına bağlanan, yenilenen veya mevcut hesaplarla mahsup edilen alacaklarla ilgili olanlar </w:t>
                  </w:r>
                  <w:proofErr w:type="gramStart"/>
                  <w:r w:rsidRPr="00053329">
                    <w:rPr>
                      <w:sz w:val="22"/>
                      <w:szCs w:val="22"/>
                    </w:rPr>
                    <w:t>dahil</w:t>
                  </w:r>
                  <w:proofErr w:type="gramEnd"/>
                  <w:r w:rsidRPr="00053329">
                    <w:rPr>
                      <w:sz w:val="22"/>
                      <w:szCs w:val="22"/>
                    </w:rPr>
                    <w:t xml:space="preserve"> olmak üzere gecikme gün sayısının belirlenmesine ilişkin politikalar yazılı hale getirilir. Bu politikalar, asgari olarak yeniden yapılandırılacak kredilere ilişkin onaylama ve raporlama şartlarını, yeniden yapılandırmaya konu edilecek alacakların asgari yaşını, gecikme gün sayısını, bir alacağın kaç defa yeniden yapılandırmaya konu edilebileceğini ve borçlunun ödeme gücünün tekrar değerlendirilmesini içerir. Söz konusu politikaların düzenli olarak uygulanması, bankanın risk yönetimi ve karar alma süreçleri ile Kredilerin Sınıflandırılması ve Bunlar İçin Ayrılacak Karşılıklara İlişkin Usul ve Esaslar Hakkında Yönetmeliğe uyumlu olması gerekir.”</w:t>
                  </w:r>
                </w:p>
                <w:p w:rsidR="00053329" w:rsidRPr="00053329" w:rsidRDefault="00053329" w:rsidP="00053329">
                  <w:pPr>
                    <w:tabs>
                      <w:tab w:val="left" w:pos="566"/>
                    </w:tabs>
                    <w:ind w:firstLine="566"/>
                    <w:jc w:val="both"/>
                    <w:rPr>
                      <w:sz w:val="22"/>
                      <w:szCs w:val="22"/>
                    </w:rPr>
                  </w:pPr>
                </w:p>
                <w:p w:rsidR="00053329" w:rsidRDefault="00053329" w:rsidP="00053329">
                  <w:pPr>
                    <w:tabs>
                      <w:tab w:val="left" w:pos="566"/>
                    </w:tabs>
                    <w:ind w:firstLine="566"/>
                    <w:jc w:val="both"/>
                    <w:rPr>
                      <w:sz w:val="22"/>
                      <w:szCs w:val="22"/>
                    </w:rPr>
                  </w:pPr>
                  <w:r w:rsidRPr="00053329">
                    <w:rPr>
                      <w:b/>
                      <w:sz w:val="22"/>
                      <w:szCs w:val="22"/>
                    </w:rPr>
                    <w:t xml:space="preserve">MADDE 9 – </w:t>
                  </w:r>
                  <w:r w:rsidRPr="00053329">
                    <w:rPr>
                      <w:sz w:val="22"/>
                      <w:szCs w:val="22"/>
                    </w:rPr>
                    <w:t xml:space="preserve">Bu Tebliğ </w:t>
                  </w:r>
                  <w:proofErr w:type="gramStart"/>
                  <w:r w:rsidRPr="00053329">
                    <w:rPr>
                      <w:sz w:val="22"/>
                      <w:szCs w:val="22"/>
                    </w:rPr>
                    <w:t>1/1/2018</w:t>
                  </w:r>
                  <w:proofErr w:type="gramEnd"/>
                  <w:r w:rsidRPr="00053329">
                    <w:rPr>
                      <w:sz w:val="22"/>
                      <w:szCs w:val="22"/>
                    </w:rPr>
                    <w:t xml:space="preserve"> tarihinden geçerli olmak üzere yayımı tarihinde yürürlüğe girer.</w:t>
                  </w:r>
                </w:p>
                <w:p w:rsidR="00053329" w:rsidRPr="00053329" w:rsidRDefault="00053329" w:rsidP="00053329">
                  <w:pPr>
                    <w:tabs>
                      <w:tab w:val="left" w:pos="566"/>
                    </w:tabs>
                    <w:ind w:firstLine="566"/>
                    <w:jc w:val="both"/>
                    <w:rPr>
                      <w:sz w:val="22"/>
                      <w:szCs w:val="22"/>
                    </w:rPr>
                  </w:pPr>
                </w:p>
                <w:p w:rsidR="00053329" w:rsidRPr="00053329" w:rsidRDefault="00053329" w:rsidP="00053329">
                  <w:pPr>
                    <w:tabs>
                      <w:tab w:val="left" w:pos="566"/>
                    </w:tabs>
                    <w:ind w:firstLine="566"/>
                    <w:jc w:val="both"/>
                    <w:rPr>
                      <w:sz w:val="22"/>
                      <w:szCs w:val="22"/>
                    </w:rPr>
                  </w:pPr>
                  <w:r w:rsidRPr="00053329">
                    <w:rPr>
                      <w:b/>
                      <w:sz w:val="22"/>
                      <w:szCs w:val="22"/>
                    </w:rPr>
                    <w:t xml:space="preserve">MADDE 10 – </w:t>
                  </w:r>
                  <w:r w:rsidRPr="00053329">
                    <w:rPr>
                      <w:sz w:val="22"/>
                      <w:szCs w:val="22"/>
                    </w:rPr>
                    <w:t>Bu Tebliğ hükümlerini Bankacılık Düzenleme ve Denetleme Kurumu Başkanı yürütür.</w:t>
                  </w:r>
                  <w:bookmarkStart w:id="0" w:name="_GoBack"/>
                  <w:bookmarkEnd w:id="0"/>
                </w:p>
                <w:p w:rsidR="00053329" w:rsidRPr="00053329" w:rsidRDefault="00053329" w:rsidP="00053329">
                  <w:pPr>
                    <w:tabs>
                      <w:tab w:val="center" w:pos="1565"/>
                      <w:tab w:val="center" w:pos="5120"/>
                    </w:tabs>
                    <w:jc w:val="center"/>
                    <w:rPr>
                      <w:sz w:val="18"/>
                      <w:szCs w:val="18"/>
                    </w:rPr>
                  </w:pPr>
                </w:p>
                <w:tbl>
                  <w:tblPr>
                    <w:tblStyle w:val="TabloKlavuzu"/>
                    <w:tblW w:w="8505" w:type="dxa"/>
                    <w:jc w:val="center"/>
                    <w:tblInd w:w="0" w:type="dxa"/>
                    <w:tblLook w:val="01E0" w:firstRow="1" w:lastRow="1" w:firstColumn="1" w:lastColumn="1" w:noHBand="0" w:noVBand="0"/>
                  </w:tblPr>
                  <w:tblGrid>
                    <w:gridCol w:w="4254"/>
                    <w:gridCol w:w="4251"/>
                  </w:tblGrid>
                  <w:tr w:rsidR="00053329" w:rsidRPr="00053329">
                    <w:trPr>
                      <w:jc w:val="center"/>
                    </w:trPr>
                    <w:tc>
                      <w:tcPr>
                        <w:tcW w:w="8505" w:type="dxa"/>
                        <w:gridSpan w:val="2"/>
                        <w:tcBorders>
                          <w:top w:val="single" w:sz="4" w:space="0" w:color="auto"/>
                          <w:left w:val="single" w:sz="4" w:space="0" w:color="auto"/>
                          <w:bottom w:val="nil"/>
                          <w:right w:val="single" w:sz="4" w:space="0" w:color="auto"/>
                        </w:tcBorders>
                        <w:hideMark/>
                      </w:tcPr>
                      <w:p w:rsidR="00053329" w:rsidRPr="00053329" w:rsidRDefault="00053329" w:rsidP="00053329">
                        <w:pPr>
                          <w:tabs>
                            <w:tab w:val="left" w:pos="566"/>
                          </w:tabs>
                          <w:jc w:val="center"/>
                          <w:rPr>
                            <w:b/>
                            <w:sz w:val="18"/>
                            <w:szCs w:val="18"/>
                          </w:rPr>
                        </w:pPr>
                        <w:r w:rsidRPr="00053329">
                          <w:rPr>
                            <w:b/>
                            <w:sz w:val="18"/>
                            <w:szCs w:val="18"/>
                          </w:rPr>
                          <w:t>Tebliğ Yayımlandığı Resmî Gazete'nin</w:t>
                        </w:r>
                      </w:p>
                    </w:tc>
                  </w:tr>
                  <w:tr w:rsidR="00053329" w:rsidRPr="00053329">
                    <w:trPr>
                      <w:jc w:val="center"/>
                    </w:trPr>
                    <w:tc>
                      <w:tcPr>
                        <w:tcW w:w="4254" w:type="dxa"/>
                        <w:tcBorders>
                          <w:top w:val="nil"/>
                          <w:left w:val="single" w:sz="4" w:space="0" w:color="auto"/>
                          <w:bottom w:val="single" w:sz="4" w:space="0" w:color="auto"/>
                          <w:right w:val="nil"/>
                        </w:tcBorders>
                        <w:hideMark/>
                      </w:tcPr>
                      <w:p w:rsidR="00053329" w:rsidRPr="00053329" w:rsidRDefault="00053329" w:rsidP="00053329">
                        <w:pPr>
                          <w:tabs>
                            <w:tab w:val="left" w:pos="566"/>
                          </w:tabs>
                          <w:jc w:val="center"/>
                          <w:rPr>
                            <w:b/>
                            <w:sz w:val="18"/>
                            <w:szCs w:val="18"/>
                          </w:rPr>
                        </w:pPr>
                        <w:r w:rsidRPr="00053329">
                          <w:rPr>
                            <w:b/>
                            <w:sz w:val="18"/>
                            <w:szCs w:val="18"/>
                          </w:rPr>
                          <w:t>Tarihi</w:t>
                        </w:r>
                      </w:p>
                    </w:tc>
                    <w:tc>
                      <w:tcPr>
                        <w:tcW w:w="4251" w:type="dxa"/>
                        <w:tcBorders>
                          <w:top w:val="nil"/>
                          <w:left w:val="nil"/>
                          <w:bottom w:val="single" w:sz="4" w:space="0" w:color="auto"/>
                          <w:right w:val="single" w:sz="4" w:space="0" w:color="auto"/>
                        </w:tcBorders>
                        <w:hideMark/>
                      </w:tcPr>
                      <w:p w:rsidR="00053329" w:rsidRPr="00053329" w:rsidRDefault="00053329" w:rsidP="00053329">
                        <w:pPr>
                          <w:tabs>
                            <w:tab w:val="left" w:pos="566"/>
                          </w:tabs>
                          <w:jc w:val="center"/>
                          <w:rPr>
                            <w:b/>
                            <w:sz w:val="18"/>
                            <w:szCs w:val="18"/>
                          </w:rPr>
                        </w:pPr>
                        <w:r w:rsidRPr="00053329">
                          <w:rPr>
                            <w:b/>
                            <w:sz w:val="18"/>
                            <w:szCs w:val="18"/>
                          </w:rPr>
                          <w:t>Sayısı</w:t>
                        </w:r>
                      </w:p>
                    </w:tc>
                  </w:tr>
                  <w:tr w:rsidR="00053329" w:rsidRPr="00053329">
                    <w:trPr>
                      <w:jc w:val="center"/>
                    </w:trPr>
                    <w:tc>
                      <w:tcPr>
                        <w:tcW w:w="4254" w:type="dxa"/>
                        <w:tcBorders>
                          <w:top w:val="single" w:sz="4" w:space="0" w:color="auto"/>
                          <w:left w:val="single" w:sz="4" w:space="0" w:color="auto"/>
                          <w:bottom w:val="single" w:sz="4" w:space="0" w:color="auto"/>
                          <w:right w:val="single" w:sz="4" w:space="0" w:color="auto"/>
                        </w:tcBorders>
                        <w:hideMark/>
                      </w:tcPr>
                      <w:p w:rsidR="00053329" w:rsidRPr="00053329" w:rsidRDefault="00053329" w:rsidP="00053329">
                        <w:pPr>
                          <w:tabs>
                            <w:tab w:val="left" w:pos="566"/>
                          </w:tabs>
                          <w:jc w:val="center"/>
                          <w:rPr>
                            <w:sz w:val="18"/>
                            <w:szCs w:val="18"/>
                          </w:rPr>
                        </w:pPr>
                        <w:proofErr w:type="gramStart"/>
                        <w:r w:rsidRPr="00053329">
                          <w:rPr>
                            <w:sz w:val="18"/>
                            <w:szCs w:val="18"/>
                          </w:rPr>
                          <w:t>23/10/2015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053329" w:rsidRPr="00053329" w:rsidRDefault="00053329" w:rsidP="00053329">
                        <w:pPr>
                          <w:tabs>
                            <w:tab w:val="left" w:pos="566"/>
                          </w:tabs>
                          <w:jc w:val="center"/>
                          <w:rPr>
                            <w:sz w:val="18"/>
                            <w:szCs w:val="18"/>
                          </w:rPr>
                        </w:pPr>
                        <w:r w:rsidRPr="00053329">
                          <w:rPr>
                            <w:sz w:val="18"/>
                            <w:szCs w:val="18"/>
                          </w:rPr>
                          <w:t>29511</w:t>
                        </w:r>
                      </w:p>
                    </w:tc>
                  </w:tr>
                  <w:tr w:rsidR="00053329" w:rsidRPr="00053329">
                    <w:trPr>
                      <w:jc w:val="center"/>
                    </w:trPr>
                    <w:tc>
                      <w:tcPr>
                        <w:tcW w:w="8505" w:type="dxa"/>
                        <w:gridSpan w:val="2"/>
                        <w:tcBorders>
                          <w:top w:val="single" w:sz="4" w:space="0" w:color="auto"/>
                          <w:left w:val="single" w:sz="4" w:space="0" w:color="auto"/>
                          <w:bottom w:val="nil"/>
                          <w:right w:val="single" w:sz="4" w:space="0" w:color="auto"/>
                        </w:tcBorders>
                        <w:hideMark/>
                      </w:tcPr>
                      <w:p w:rsidR="00053329" w:rsidRPr="00053329" w:rsidRDefault="00053329" w:rsidP="00053329">
                        <w:pPr>
                          <w:tabs>
                            <w:tab w:val="left" w:pos="566"/>
                          </w:tabs>
                          <w:jc w:val="center"/>
                          <w:rPr>
                            <w:b/>
                            <w:sz w:val="18"/>
                            <w:szCs w:val="18"/>
                          </w:rPr>
                        </w:pPr>
                        <w:r w:rsidRPr="00053329">
                          <w:rPr>
                            <w:b/>
                            <w:sz w:val="18"/>
                            <w:szCs w:val="18"/>
                          </w:rPr>
                          <w:t>Tebliğde Değişiklik Yapan Tebliğin Yayımlandığı Resmî Gazete'nin</w:t>
                        </w:r>
                      </w:p>
                    </w:tc>
                  </w:tr>
                  <w:tr w:rsidR="00053329" w:rsidRPr="00053329">
                    <w:trPr>
                      <w:jc w:val="center"/>
                    </w:trPr>
                    <w:tc>
                      <w:tcPr>
                        <w:tcW w:w="4254" w:type="dxa"/>
                        <w:tcBorders>
                          <w:top w:val="nil"/>
                          <w:left w:val="single" w:sz="4" w:space="0" w:color="auto"/>
                          <w:bottom w:val="single" w:sz="4" w:space="0" w:color="auto"/>
                          <w:right w:val="nil"/>
                        </w:tcBorders>
                        <w:hideMark/>
                      </w:tcPr>
                      <w:p w:rsidR="00053329" w:rsidRPr="00053329" w:rsidRDefault="00053329" w:rsidP="00053329">
                        <w:pPr>
                          <w:tabs>
                            <w:tab w:val="left" w:pos="566"/>
                          </w:tabs>
                          <w:jc w:val="center"/>
                          <w:rPr>
                            <w:b/>
                            <w:sz w:val="18"/>
                            <w:szCs w:val="18"/>
                          </w:rPr>
                        </w:pPr>
                        <w:r w:rsidRPr="00053329">
                          <w:rPr>
                            <w:b/>
                            <w:sz w:val="18"/>
                            <w:szCs w:val="18"/>
                          </w:rPr>
                          <w:t>Tarihi</w:t>
                        </w:r>
                      </w:p>
                    </w:tc>
                    <w:tc>
                      <w:tcPr>
                        <w:tcW w:w="4251" w:type="dxa"/>
                        <w:tcBorders>
                          <w:top w:val="nil"/>
                          <w:left w:val="nil"/>
                          <w:bottom w:val="single" w:sz="4" w:space="0" w:color="auto"/>
                          <w:right w:val="single" w:sz="4" w:space="0" w:color="auto"/>
                        </w:tcBorders>
                        <w:hideMark/>
                      </w:tcPr>
                      <w:p w:rsidR="00053329" w:rsidRPr="00053329" w:rsidRDefault="00053329" w:rsidP="00053329">
                        <w:pPr>
                          <w:tabs>
                            <w:tab w:val="left" w:pos="566"/>
                          </w:tabs>
                          <w:jc w:val="center"/>
                          <w:rPr>
                            <w:b/>
                            <w:sz w:val="18"/>
                            <w:szCs w:val="18"/>
                          </w:rPr>
                        </w:pPr>
                        <w:r w:rsidRPr="00053329">
                          <w:rPr>
                            <w:b/>
                            <w:sz w:val="18"/>
                            <w:szCs w:val="18"/>
                          </w:rPr>
                          <w:t>Sayısı</w:t>
                        </w:r>
                      </w:p>
                    </w:tc>
                  </w:tr>
                  <w:tr w:rsidR="00053329" w:rsidRPr="00053329">
                    <w:trPr>
                      <w:jc w:val="center"/>
                    </w:trPr>
                    <w:tc>
                      <w:tcPr>
                        <w:tcW w:w="4254" w:type="dxa"/>
                        <w:tcBorders>
                          <w:top w:val="single" w:sz="4" w:space="0" w:color="auto"/>
                          <w:left w:val="single" w:sz="4" w:space="0" w:color="auto"/>
                          <w:bottom w:val="single" w:sz="4" w:space="0" w:color="auto"/>
                          <w:right w:val="single" w:sz="4" w:space="0" w:color="auto"/>
                        </w:tcBorders>
                        <w:hideMark/>
                      </w:tcPr>
                      <w:p w:rsidR="00053329" w:rsidRPr="00053329" w:rsidRDefault="00053329" w:rsidP="00053329">
                        <w:pPr>
                          <w:tabs>
                            <w:tab w:val="left" w:pos="566"/>
                          </w:tabs>
                          <w:jc w:val="center"/>
                          <w:rPr>
                            <w:sz w:val="18"/>
                            <w:szCs w:val="18"/>
                          </w:rPr>
                        </w:pPr>
                        <w:proofErr w:type="gramStart"/>
                        <w:r w:rsidRPr="00053329">
                          <w:rPr>
                            <w:sz w:val="18"/>
                            <w:szCs w:val="18"/>
                          </w:rPr>
                          <w:t>20/1/2016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053329" w:rsidRPr="00053329" w:rsidRDefault="00053329" w:rsidP="00053329">
                        <w:pPr>
                          <w:tabs>
                            <w:tab w:val="left" w:pos="566"/>
                          </w:tabs>
                          <w:jc w:val="center"/>
                          <w:rPr>
                            <w:sz w:val="18"/>
                            <w:szCs w:val="18"/>
                          </w:rPr>
                        </w:pPr>
                        <w:r w:rsidRPr="00053329">
                          <w:rPr>
                            <w:sz w:val="18"/>
                            <w:szCs w:val="18"/>
                          </w:rPr>
                          <w:t>29599</w:t>
                        </w:r>
                      </w:p>
                    </w:tc>
                  </w:tr>
                </w:tbl>
                <w:p w:rsidR="00053329" w:rsidRPr="00053329" w:rsidRDefault="00053329" w:rsidP="00053329">
                  <w:pPr>
                    <w:jc w:val="center"/>
                    <w:rPr>
                      <w:rFonts w:ascii="Arial" w:hAnsi="Arial" w:cs="Arial"/>
                      <w:b/>
                      <w:color w:val="000080"/>
                      <w:sz w:val="18"/>
                      <w:szCs w:val="18"/>
                    </w:rPr>
                  </w:pPr>
                </w:p>
              </w:tc>
            </w:tr>
          </w:tbl>
          <w:p w:rsidR="00053329" w:rsidRPr="00053329" w:rsidRDefault="00053329" w:rsidP="00053329">
            <w:pPr>
              <w:jc w:val="center"/>
            </w:pPr>
          </w:p>
        </w:tc>
      </w:tr>
    </w:tbl>
    <w:p w:rsidR="00053329" w:rsidRPr="00053329" w:rsidRDefault="00053329" w:rsidP="00053329">
      <w:pPr>
        <w:spacing w:after="0" w:line="240" w:lineRule="auto"/>
        <w:jc w:val="center"/>
        <w:rPr>
          <w:rFonts w:ascii="Times New Roman" w:eastAsia="Times New Roman" w:hAnsi="Times New Roman" w:cs="Times New Roman"/>
          <w:sz w:val="24"/>
          <w:szCs w:val="24"/>
          <w:lang w:eastAsia="tr-TR"/>
        </w:rPr>
      </w:pPr>
    </w:p>
    <w:p w:rsidR="00892522" w:rsidRDefault="00892522" w:rsidP="00053329">
      <w:pPr>
        <w:spacing w:after="0" w:line="240" w:lineRule="auto"/>
      </w:pPr>
    </w:p>
    <w:sectPr w:rsidR="0089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29"/>
    <w:rsid w:val="00053329"/>
    <w:rsid w:val="00892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33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5332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5332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5332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053329"/>
    <w:pPr>
      <w:tabs>
        <w:tab w:val="left" w:pos="566"/>
      </w:tabs>
      <w:spacing w:after="0" w:line="240" w:lineRule="auto"/>
      <w:jc w:val="both"/>
    </w:pPr>
    <w:rPr>
      <w:rFonts w:ascii="Times New Roman" w:eastAsia="Times New Roman" w:hAnsi="Times New Roman" w:cs="Times New Roman"/>
      <w:sz w:val="19"/>
      <w:szCs w:val="20"/>
    </w:rPr>
  </w:style>
  <w:style w:type="table" w:customStyle="1" w:styleId="NormalTablo">
    <w:name w:val="Normal Tablo"/>
    <w:uiPriority w:val="99"/>
    <w:semiHidden/>
    <w:qFormat/>
    <w:rsid w:val="00053329"/>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05332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33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5332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5332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5332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053329"/>
    <w:pPr>
      <w:tabs>
        <w:tab w:val="left" w:pos="566"/>
      </w:tabs>
      <w:spacing w:after="0" w:line="240" w:lineRule="auto"/>
      <w:jc w:val="both"/>
    </w:pPr>
    <w:rPr>
      <w:rFonts w:ascii="Times New Roman" w:eastAsia="Times New Roman" w:hAnsi="Times New Roman" w:cs="Times New Roman"/>
      <w:sz w:val="19"/>
      <w:szCs w:val="20"/>
    </w:rPr>
  </w:style>
  <w:style w:type="table" w:customStyle="1" w:styleId="NormalTablo">
    <w:name w:val="Normal Tablo"/>
    <w:uiPriority w:val="99"/>
    <w:semiHidden/>
    <w:qFormat/>
    <w:rsid w:val="00053329"/>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05332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5295">
      <w:bodyDiv w:val="1"/>
      <w:marLeft w:val="0"/>
      <w:marRight w:val="0"/>
      <w:marTop w:val="0"/>
      <w:marBottom w:val="0"/>
      <w:divBdr>
        <w:top w:val="none" w:sz="0" w:space="0" w:color="auto"/>
        <w:left w:val="none" w:sz="0" w:space="0" w:color="auto"/>
        <w:bottom w:val="none" w:sz="0" w:space="0" w:color="auto"/>
        <w:right w:val="none" w:sz="0" w:space="0" w:color="auto"/>
      </w:divBdr>
      <w:divsChild>
        <w:div w:id="1354192164">
          <w:marLeft w:val="0"/>
          <w:marRight w:val="0"/>
          <w:marTop w:val="0"/>
          <w:marBottom w:val="0"/>
          <w:divBdr>
            <w:top w:val="none" w:sz="0" w:space="0" w:color="auto"/>
            <w:left w:val="none" w:sz="0" w:space="0" w:color="auto"/>
            <w:bottom w:val="none" w:sz="0" w:space="0" w:color="auto"/>
            <w:right w:val="none" w:sz="0" w:space="0" w:color="auto"/>
          </w:divBdr>
          <w:divsChild>
            <w:div w:id="183828529">
              <w:marLeft w:val="0"/>
              <w:marRight w:val="0"/>
              <w:marTop w:val="0"/>
              <w:marBottom w:val="0"/>
              <w:divBdr>
                <w:top w:val="none" w:sz="0" w:space="0" w:color="auto"/>
                <w:left w:val="none" w:sz="0" w:space="0" w:color="auto"/>
                <w:bottom w:val="none" w:sz="0" w:space="0" w:color="auto"/>
                <w:right w:val="none" w:sz="0" w:space="0" w:color="auto"/>
              </w:divBdr>
              <w:divsChild>
                <w:div w:id="992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cp:revision>
  <dcterms:created xsi:type="dcterms:W3CDTF">2018-03-14T14:53:00Z</dcterms:created>
  <dcterms:modified xsi:type="dcterms:W3CDTF">2018-03-14T14:55:00Z</dcterms:modified>
</cp:coreProperties>
</file>